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91D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浙江省嘉善县第一人民医院</w:t>
      </w:r>
    </w:p>
    <w:p w14:paraId="7F55004D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综合安防管理系统维保服务项目附件</w:t>
      </w:r>
    </w:p>
    <w:p w14:paraId="299CBB90"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 w14:paraId="5E7AC8BA"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编号：JYZY-XX-2025001</w:t>
      </w:r>
    </w:p>
    <w:p w14:paraId="0667F3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项目名称和内容：</w:t>
      </w:r>
    </w:p>
    <w:p w14:paraId="2A3E7AF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1.项目名称：</w:t>
      </w:r>
      <w:r>
        <w:rPr>
          <w:rFonts w:hint="eastAsia"/>
          <w:sz w:val="21"/>
          <w:szCs w:val="21"/>
          <w:lang w:val="en-US" w:eastAsia="zh-CN"/>
        </w:rPr>
        <w:t>浙江省嘉善县第一人民医院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综合安防管理系统维保服务</w:t>
      </w:r>
    </w:p>
    <w:p w14:paraId="60235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2.预算金额：12万元</w:t>
      </w:r>
    </w:p>
    <w:p w14:paraId="66DE7008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Toc166164757"/>
      <w:bookmarkStart w:id="1" w:name="_Toc26215"/>
      <w:bookmarkStart w:id="2" w:name="_Toc22963"/>
      <w:bookmarkStart w:id="3" w:name="_Toc13920"/>
      <w:bookmarkStart w:id="4" w:name="_Toc17559"/>
      <w:bookmarkStart w:id="5" w:name="_Toc31047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3.支付方式：服务期满6个月支付合同价款的50%，服务期满12个月经考核后按考核结果支付剩余的50%</w:t>
      </w:r>
    </w:p>
    <w:p w14:paraId="4AE30AF9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范围</w:t>
      </w:r>
      <w:bookmarkEnd w:id="0"/>
      <w:bookmarkEnd w:id="1"/>
      <w:bookmarkEnd w:id="2"/>
      <w:bookmarkEnd w:id="3"/>
      <w:bookmarkEnd w:id="4"/>
      <w:bookmarkEnd w:id="5"/>
    </w:p>
    <w:p w14:paraId="4A16F7DB"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嘉善县第一人民医院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综合安防管理系统维保服务包含一期、二期、三期建设项目并协助做好四期建设项目的应急维保服务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维保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内容包括智安医院平台的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日常维护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，服务器和存储等系统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设置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和维护，全院所有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视频监控，门禁管理，一键报警，安检门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安检机等设备的日常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运维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、故障修复、服务咨询等和软件的日常维护、培训、应用等。具体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维保内容如下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</w:p>
    <w:p w14:paraId="5323B1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智安医院综合管理平台</w:t>
      </w:r>
    </w:p>
    <w:p w14:paraId="04FF5A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2.安防超脑服务器</w:t>
      </w:r>
    </w:p>
    <w:p w14:paraId="6F33BA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3.视频监控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1570</w:t>
      </w:r>
      <w:bookmarkStart w:id="7" w:name="_GoBack"/>
      <w:bookmarkEnd w:id="7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路</w:t>
      </w:r>
    </w:p>
    <w:p w14:paraId="67BD9B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4.门禁管理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路</w:t>
      </w:r>
    </w:p>
    <w:p w14:paraId="72B715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5.全院一键紧急报警</w:t>
      </w:r>
    </w:p>
    <w:p w14:paraId="497894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6.安检门设备3台，安检机设备1台</w:t>
      </w:r>
    </w:p>
    <w:p w14:paraId="5EAE44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7.存储服务器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交换机等网络设备</w:t>
      </w:r>
    </w:p>
    <w:p w14:paraId="74830E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二、服务要求</w:t>
      </w:r>
    </w:p>
    <w:p w14:paraId="5B36C8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按照综合安防管理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系统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功能和性能要求，维护系统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软硬件设备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的日常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运行符合相关要求和标准，确保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365天24小时正常运转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要求每季度出具各类软硬件设备、机房的巡检报告，每次维修出具维修服务清单、配件使用清单和客户回访意见单。</w:t>
      </w:r>
    </w:p>
    <w:p w14:paraId="0B8E060E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1.服务咨询</w:t>
      </w:r>
    </w:p>
    <w:p w14:paraId="4194A4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要求服务提供商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设立专门的咨询中心，提供免费的服务热线电话，接受系统故障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报修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、使用帮助、业务和技术咨询、服务投诉等。咨询中心全天候运行，配备足够的咨询人员或技术工程师，热线电话的拨通率达到90%以上。在热线电话发生故障情况下，提供其他备份的方便和迅速的联系方式。</w:t>
      </w:r>
    </w:p>
    <w:p w14:paraId="013ADE94"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2.故障修复</w:t>
      </w:r>
    </w:p>
    <w:p w14:paraId="71421B44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2.1紧急抢修</w:t>
      </w:r>
    </w:p>
    <w:p w14:paraId="56EE92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服务提供商须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承担合同期内系统发生任何故障的紧急抢修任务，保证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平台及服务器系统正常运行。</w:t>
      </w:r>
    </w:p>
    <w:p w14:paraId="71D872B4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2.2易损易耗件</w:t>
      </w:r>
    </w:p>
    <w:p w14:paraId="25FAB4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服务提供商须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建立备品仓库，储存足够的备用易损易耗件。备品仓库应合理分布，或者在用户的使用现场（例如监控室）储存，保证能满足故障应急抢修的要求，不增加院方额外投入。</w:t>
      </w:r>
    </w:p>
    <w:p w14:paraId="0BCC0067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2.3更换设备</w:t>
      </w:r>
    </w:p>
    <w:p w14:paraId="27220D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系统发生设备损坏，由院方使用部门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（保卫科）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确认后，按流程正常更换，若某个设备多次故障，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服务提供商须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更换使用新的同型号或者性能不低于原型号的替代产品，以保障设备的连续正常使用能力。</w:t>
      </w:r>
    </w:p>
    <w:p w14:paraId="257141BE"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2.4服务响应要求</w:t>
      </w:r>
    </w:p>
    <w:p w14:paraId="5ADF1F23">
      <w:pPr>
        <w:pStyle w:val="2"/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服务提供商须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提供服务期内详细的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维保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服务方案，包括服务内容、服务形式和服务保障措施。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维保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服务方案应满足以下具体要求：</w:t>
      </w:r>
    </w:p>
    <w:p w14:paraId="24453C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2.4.1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为综合安防管理系统正常运行提供技术保障，确保系统设备设施的正常工作。</w:t>
      </w:r>
    </w:p>
    <w:p w14:paraId="3F0A97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2.4.2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服务提供商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在接到客户报修通知后，在没有特殊情况的条件下（如天气极其恶劣，已经影响到正常维修等），在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小时内到达现场，解决故障。如需设备维修或更换的情况，在3天内完成。</w:t>
      </w:r>
    </w:p>
    <w:p w14:paraId="3CBAEAE3"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6" w:name="_Toc166164769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常用配件</w:t>
      </w:r>
      <w:bookmarkEnd w:id="6"/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：主要指常用的门禁配件和视频监控配件，经询价比价后通过政采云网上超市采购。</w:t>
      </w:r>
    </w:p>
    <w:p w14:paraId="0269D9A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商务要求：</w:t>
      </w:r>
    </w:p>
    <w:p w14:paraId="380A9A3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合同履约期限：自合同签订之日起一年,一年服务期满后若中标供应商操作规范、服务优良的，经采购人同意后，可延长采购服务有效期两次，每次续签服务合同一年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65B6EA2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2.服务（售后）要求：</w:t>
      </w:r>
    </w:p>
    <w:p w14:paraId="12FDB60C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服务期内非人为因素出现的质量问题，须按国家有关规定和要求（如无国家规定和要求的，按承诺和厂方“三包”规定）立即进行免费维修、免费更换有缺陷的零部件、直至免费更换新货物。因货物本身问题在48小时之内仍不能排除的故障，应提供与原货物相同或不低于原货物性能的备用货物。故障排除后应出具书面故障诊断报告备案。</w:t>
      </w:r>
    </w:p>
    <w:p w14:paraId="35BA8AA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中标人须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提供7*24小时不限次数的协助医院排查服务器、交换机、存储、管理平台等软硬件设备故障及技术服务，服务方式不限于热线电话、电子邮件、远程支持、现场支持等。如发生紧急故障，在得到用户通知后，1小时内作出实质性响应，并提供应急策略；及时检测和诊断故障，排除故障；采取紧急措施保证系统安全、稳定运行。</w:t>
      </w:r>
    </w:p>
    <w:p w14:paraId="264A9A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实施、验收要求：</w:t>
      </w:r>
    </w:p>
    <w:p w14:paraId="047BC81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本项目正式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实施期间，须遵守甲方各项管理制度，承担信息安全责任，不得泄露任何涉及机构和个人隐私的信息；规范操作，乙方承担安全生产责任，</w:t>
      </w:r>
    </w:p>
    <w:p w14:paraId="69B995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3.2本项目服务期限为一年，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在项目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服务期限到期前，甲方出具项目服务评价报告作为支付项目服务费的考核标准，考核满意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100%支付服务费，考核基本满意90%支付服务费，考核不满意70%支付服务费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0EC6BC20">
      <w:pPr>
        <w:pStyle w:val="1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afterLines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培训：投标人应根据项目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实施情况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，制定培训计划，并提供相关的培训，包括技术培训和操作培训。</w:t>
      </w:r>
    </w:p>
    <w:p w14:paraId="6A30799A">
      <w:pPr>
        <w:pStyle w:val="1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afterLines="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合理化建议和其它优惠</w:t>
      </w:r>
    </w:p>
    <w:p w14:paraId="616EA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参与投标应提供以下资料（标书一正二副，正本须加盖红章）：</w:t>
      </w:r>
    </w:p>
    <w:p w14:paraId="3E4BE1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营业执照及相应资质复印件（</w:t>
      </w:r>
      <w:r>
        <w:rPr>
          <w:rFonts w:hint="eastAsia" w:ascii="Calibri" w:hAnsi="Calibri" w:eastAsia="宋体" w:cs="Times New Roman"/>
          <w:b w:val="0"/>
          <w:bCs w:val="0"/>
          <w:sz w:val="22"/>
        </w:rPr>
        <w:t>网络安全等级测评与检测评估机构服务认证证书</w:t>
      </w:r>
      <w:r>
        <w:rPr>
          <w:rFonts w:hint="eastAsia"/>
          <w:sz w:val="21"/>
          <w:szCs w:val="21"/>
          <w:lang w:val="en-US" w:eastAsia="zh-CN"/>
        </w:rPr>
        <w:t>）；</w:t>
      </w:r>
    </w:p>
    <w:p w14:paraId="2ECA9F5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投标代表的法人授权书记身份证复印件，并带身份证原件；</w:t>
      </w:r>
    </w:p>
    <w:p w14:paraId="19ADEA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廉洁承诺书；</w:t>
      </w:r>
    </w:p>
    <w:p w14:paraId="10E1D46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投标一览表及投标报价表；</w:t>
      </w:r>
    </w:p>
    <w:p w14:paraId="3575067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同类服务业绩（提供合同复印件加盖公章）；</w:t>
      </w:r>
    </w:p>
    <w:p w14:paraId="1E4C43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服务方案及承诺书；</w:t>
      </w:r>
    </w:p>
    <w:p w14:paraId="2A0B711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标书文件需装订成册，不接收活页形式或通过夹子成型的标书。</w:t>
      </w:r>
    </w:p>
    <w:p w14:paraId="2EF47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以上资料开标时评标现场提供。</w:t>
      </w:r>
    </w:p>
    <w:p w14:paraId="0478B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五、评标方法：</w:t>
      </w:r>
    </w:p>
    <w:p w14:paraId="2A698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本次院内采购采用综合判定的方法。中标结果以嘉善县第一人民医院官网、电话通知为准。</w:t>
      </w:r>
    </w:p>
    <w:p w14:paraId="560C1B85"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Lines="0"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1B94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0FF1058"/>
    <w:p w14:paraId="199FA761"/>
    <w:p w14:paraId="32B50E78"/>
    <w:p w14:paraId="0611C589"/>
    <w:p w14:paraId="61AEF7CE"/>
    <w:p w14:paraId="1D8959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0018E"/>
    <w:multiLevelType w:val="singleLevel"/>
    <w:tmpl w:val="B800018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4B15D1"/>
    <w:multiLevelType w:val="singleLevel"/>
    <w:tmpl w:val="0C4B15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372418"/>
    <w:multiLevelType w:val="singleLevel"/>
    <w:tmpl w:val="713724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830B6"/>
    <w:rsid w:val="04E830B6"/>
    <w:rsid w:val="12066128"/>
    <w:rsid w:val="129A72A5"/>
    <w:rsid w:val="22565A93"/>
    <w:rsid w:val="2CD30697"/>
    <w:rsid w:val="3D1A5CE6"/>
    <w:rsid w:val="5AF72FCB"/>
    <w:rsid w:val="618741B1"/>
    <w:rsid w:val="6F8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Wingdings" w:hAnsi="Wingdings" w:cs="宋体"/>
      <w:kern w:val="0"/>
      <w:sz w:val="20"/>
      <w:szCs w:val="20"/>
    </w:rPr>
  </w:style>
  <w:style w:type="paragraph" w:customStyle="1" w:styleId="10">
    <w:name w:val="正文段"/>
    <w:basedOn w:val="1"/>
    <w:qFormat/>
    <w:uiPriority w:val="0"/>
    <w:pPr>
      <w:widowControl/>
      <w:snapToGrid w:val="0"/>
      <w:spacing w:after="156" w:afterLines="50"/>
      <w:ind w:firstLine="200" w:firstLineChars="200"/>
    </w:pPr>
    <w:rPr>
      <w:rFonts w:ascii="Calibri" w:hAnsi="Calibri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1899</Words>
  <Characters>1997</Characters>
  <Lines>0</Lines>
  <Paragraphs>0</Paragraphs>
  <TotalTime>12</TotalTime>
  <ScaleCrop>false</ScaleCrop>
  <LinksUpToDate>false</LinksUpToDate>
  <CharactersWithSpaces>2000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2025-05-18T09:16:00Z</dcterms:created>
  <dc:creator>浮生若茶</dc:creator>
  <cp:lastModifiedBy>浮生若茶</cp:lastModifiedBy>
  <dcterms:modified xsi:type="dcterms:W3CDTF">2025-05-19T00:27:40Z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5FB171754B394FA18E0DF7C61218F7F3_11</vt:lpwstr>
  </property>
  <property fmtid="{D5CDD505-2E9C-101B-9397-08002B2CF9AE}" pid="4" name="KSOTemplateDocerSaveRecord">
    <vt:lpwstr>eyJoZGlkIjoiM2QyZmUyMDkzNDQ2MmNhYmNmY2FmMjRiNjcwMmI5YmYiLCJ1c2VySWQiOiIzNzE1ODc2NzcifQ==</vt:lpwstr>
  </property>
</Properties>
</file>